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5FBC" w14:textId="3173FC58" w:rsidR="00D5547E" w:rsidRDefault="00D5547E" w:rsidP="004A6D2F"/>
    <w:p w14:paraId="49A476F0" w14:textId="77777777" w:rsidR="00FF1566" w:rsidRPr="009E51FC" w:rsidRDefault="00FF1566"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5EA5FBF" w14:textId="77777777" w:rsidTr="005F7F7E">
        <w:tc>
          <w:tcPr>
            <w:tcW w:w="2438" w:type="dxa"/>
            <w:shd w:val="clear" w:color="auto" w:fill="auto"/>
          </w:tcPr>
          <w:p w14:paraId="15EA5FB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5EA5FBE" w14:textId="7487477B" w:rsidR="00F445B1" w:rsidRPr="00F95BC9" w:rsidRDefault="008F64AA" w:rsidP="004A6D2F">
            <w:pPr>
              <w:rPr>
                <w:rStyle w:val="Firstpagetablebold"/>
              </w:rPr>
            </w:pPr>
            <w:r>
              <w:rPr>
                <w:rStyle w:val="Firstpagetablebold"/>
              </w:rPr>
              <w:t>Council</w:t>
            </w:r>
          </w:p>
        </w:tc>
      </w:tr>
      <w:tr w:rsidR="00CE544A" w:rsidRPr="00975B07" w14:paraId="15EA5FC2" w14:textId="77777777" w:rsidTr="005F7F7E">
        <w:tc>
          <w:tcPr>
            <w:tcW w:w="2438" w:type="dxa"/>
            <w:shd w:val="clear" w:color="auto" w:fill="auto"/>
          </w:tcPr>
          <w:p w14:paraId="15EA5FC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5EA5FC1" w14:textId="7CCC850B" w:rsidR="00F445B1" w:rsidRPr="001356F1" w:rsidRDefault="008F64AA" w:rsidP="005D0621">
            <w:pPr>
              <w:rPr>
                <w:b/>
              </w:rPr>
            </w:pPr>
            <w:r>
              <w:rPr>
                <w:rStyle w:val="Firstpagetablebold"/>
              </w:rPr>
              <w:t xml:space="preserve">2 October </w:t>
            </w:r>
            <w:r w:rsidR="00B67D0A">
              <w:rPr>
                <w:rStyle w:val="Firstpagetablebold"/>
              </w:rPr>
              <w:t>2023</w:t>
            </w:r>
          </w:p>
        </w:tc>
      </w:tr>
      <w:tr w:rsidR="00CE544A" w:rsidRPr="00975B07" w14:paraId="15EA5FC5" w14:textId="77777777" w:rsidTr="005F7F7E">
        <w:tc>
          <w:tcPr>
            <w:tcW w:w="2438" w:type="dxa"/>
            <w:shd w:val="clear" w:color="auto" w:fill="auto"/>
          </w:tcPr>
          <w:p w14:paraId="15EA5FC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5EA5FC4" w14:textId="6837E721" w:rsidR="00F445B1" w:rsidRPr="001356F1" w:rsidRDefault="00B67D0A" w:rsidP="004A6D2F">
            <w:pPr>
              <w:rPr>
                <w:rStyle w:val="Firstpagetablebold"/>
              </w:rPr>
            </w:pPr>
            <w:r>
              <w:rPr>
                <w:rStyle w:val="Firstpagetablebold"/>
              </w:rPr>
              <w:t xml:space="preserve">Head of Law &amp; Governance (Monitoring Officer) </w:t>
            </w:r>
          </w:p>
        </w:tc>
      </w:tr>
      <w:tr w:rsidR="00CE544A" w:rsidRPr="00975B07" w14:paraId="15EA5FC8" w14:textId="77777777" w:rsidTr="005F7F7E">
        <w:tc>
          <w:tcPr>
            <w:tcW w:w="2438" w:type="dxa"/>
            <w:shd w:val="clear" w:color="auto" w:fill="auto"/>
          </w:tcPr>
          <w:p w14:paraId="15EA5F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5EA5FC7" w14:textId="5E8F8951" w:rsidR="00F445B1" w:rsidRPr="001356F1" w:rsidRDefault="00B169EA" w:rsidP="004A6D2F">
            <w:pPr>
              <w:rPr>
                <w:rStyle w:val="Firstpagetablebold"/>
              </w:rPr>
            </w:pPr>
            <w:r>
              <w:rPr>
                <w:rStyle w:val="Firstpagetablebold"/>
              </w:rPr>
              <w:t>Constitutional</w:t>
            </w:r>
            <w:r w:rsidR="00667A0E">
              <w:rPr>
                <w:rStyle w:val="Firstpagetablebold"/>
              </w:rPr>
              <w:t xml:space="preserve"> Ame</w:t>
            </w:r>
            <w:r>
              <w:rPr>
                <w:rStyle w:val="Firstpagetablebold"/>
              </w:rPr>
              <w:t xml:space="preserve">ndments – changes to responsibility for functions </w:t>
            </w:r>
          </w:p>
        </w:tc>
      </w:tr>
    </w:tbl>
    <w:p w14:paraId="15EA5FC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2016"/>
        <w:gridCol w:w="6407"/>
      </w:tblGrid>
      <w:tr w:rsidR="00D5547E" w14:paraId="15EA5FCB" w14:textId="77777777" w:rsidTr="00FC735D">
        <w:tc>
          <w:tcPr>
            <w:tcW w:w="9156" w:type="dxa"/>
            <w:gridSpan w:val="3"/>
            <w:tcBorders>
              <w:bottom w:val="single" w:sz="8" w:space="0" w:color="000000"/>
            </w:tcBorders>
            <w:hideMark/>
          </w:tcPr>
          <w:p w14:paraId="15EA5FC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5EA5FCE" w14:textId="77777777" w:rsidTr="00FC735D">
        <w:tc>
          <w:tcPr>
            <w:tcW w:w="2749" w:type="dxa"/>
            <w:gridSpan w:val="2"/>
            <w:tcBorders>
              <w:top w:val="single" w:sz="8" w:space="0" w:color="000000"/>
              <w:left w:val="single" w:sz="8" w:space="0" w:color="000000"/>
              <w:bottom w:val="nil"/>
              <w:right w:val="nil"/>
            </w:tcBorders>
            <w:hideMark/>
          </w:tcPr>
          <w:p w14:paraId="15EA5FC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5EA5FCD" w14:textId="3C515021" w:rsidR="00D5547E" w:rsidRPr="001356F1" w:rsidRDefault="000254A8" w:rsidP="00821AAF">
            <w:r>
              <w:t xml:space="preserve">To seek Council agreement to amend the Constitution to reflect changes in responsibilities for functions. </w:t>
            </w:r>
          </w:p>
        </w:tc>
      </w:tr>
      <w:tr w:rsidR="00D5547E" w14:paraId="15EA5FD1" w14:textId="77777777" w:rsidTr="00FC735D">
        <w:tc>
          <w:tcPr>
            <w:tcW w:w="2749" w:type="dxa"/>
            <w:gridSpan w:val="2"/>
            <w:tcBorders>
              <w:top w:val="nil"/>
              <w:left w:val="single" w:sz="8" w:space="0" w:color="000000"/>
              <w:bottom w:val="nil"/>
              <w:right w:val="nil"/>
            </w:tcBorders>
            <w:hideMark/>
          </w:tcPr>
          <w:p w14:paraId="15EA5FCF"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5EA5FD0" w14:textId="48F0A5B3" w:rsidR="00D5547E" w:rsidRPr="001356F1" w:rsidRDefault="000254A8" w:rsidP="005F7F7E">
            <w:r>
              <w:t>No</w:t>
            </w:r>
          </w:p>
        </w:tc>
      </w:tr>
      <w:tr w:rsidR="005F7F7E" w:rsidRPr="00975B07" w14:paraId="15EA5FDC" w14:textId="77777777" w:rsidTr="00FC735D">
        <w:trPr>
          <w:trHeight w:val="413"/>
        </w:trPr>
        <w:tc>
          <w:tcPr>
            <w:tcW w:w="9156" w:type="dxa"/>
            <w:gridSpan w:val="3"/>
            <w:tcBorders>
              <w:bottom w:val="single" w:sz="8" w:space="0" w:color="000000"/>
            </w:tcBorders>
          </w:tcPr>
          <w:p w14:paraId="15EA5FDB" w14:textId="15AEA099" w:rsidR="005F7F7E" w:rsidRPr="00975B07" w:rsidRDefault="005F7F7E" w:rsidP="00821AAF">
            <w:r>
              <w:rPr>
                <w:rStyle w:val="Firstpagetablebold"/>
              </w:rPr>
              <w:t>Recommendation(s):</w:t>
            </w:r>
            <w:r w:rsidR="00FF1566">
              <w:rPr>
                <w:rStyle w:val="Firstpagetablebold"/>
              </w:rPr>
              <w:t xml:space="preserve"> </w:t>
            </w:r>
            <w:r>
              <w:rPr>
                <w:rStyle w:val="Firstpagetablebold"/>
              </w:rPr>
              <w:t xml:space="preserve">That the </w:t>
            </w:r>
            <w:r w:rsidR="00A0649C">
              <w:rPr>
                <w:rStyle w:val="Firstpagetablebold"/>
              </w:rPr>
              <w:t>Council</w:t>
            </w:r>
            <w:r>
              <w:rPr>
                <w:rStyle w:val="Firstpagetablebold"/>
              </w:rPr>
              <w:t xml:space="preserve"> resolves to:</w:t>
            </w:r>
          </w:p>
        </w:tc>
      </w:tr>
      <w:tr w:rsidR="0030208D" w:rsidRPr="00975B07" w14:paraId="15EA5FDF" w14:textId="77777777" w:rsidTr="00FC735D">
        <w:trPr>
          <w:trHeight w:val="283"/>
        </w:trPr>
        <w:tc>
          <w:tcPr>
            <w:tcW w:w="733" w:type="dxa"/>
            <w:tcBorders>
              <w:top w:val="single" w:sz="8" w:space="0" w:color="000000"/>
              <w:left w:val="single" w:sz="8" w:space="0" w:color="000000"/>
              <w:bottom w:val="nil"/>
              <w:right w:val="nil"/>
            </w:tcBorders>
          </w:tcPr>
          <w:p w14:paraId="15EA5FDD" w14:textId="610CF789" w:rsidR="0030208D" w:rsidRPr="00975B07" w:rsidRDefault="00FC735D" w:rsidP="00FC735D">
            <w:r>
              <w:t>1.</w:t>
            </w:r>
          </w:p>
        </w:tc>
        <w:tc>
          <w:tcPr>
            <w:tcW w:w="8419" w:type="dxa"/>
            <w:gridSpan w:val="2"/>
            <w:tcBorders>
              <w:top w:val="single" w:sz="8" w:space="0" w:color="000000"/>
              <w:left w:val="nil"/>
              <w:bottom w:val="nil"/>
              <w:right w:val="single" w:sz="8" w:space="0" w:color="000000"/>
            </w:tcBorders>
            <w:shd w:val="clear" w:color="auto" w:fill="auto"/>
          </w:tcPr>
          <w:p w14:paraId="15EA5FDE" w14:textId="7FAFA71A" w:rsidR="0030208D" w:rsidRPr="001356F1" w:rsidRDefault="00AB0434" w:rsidP="002069B3">
            <w:r>
              <w:rPr>
                <w:b/>
                <w:bCs/>
              </w:rPr>
              <w:t>A</w:t>
            </w:r>
            <w:r w:rsidR="006A5A13" w:rsidRPr="00AB0434">
              <w:rPr>
                <w:b/>
                <w:bCs/>
              </w:rPr>
              <w:t>pprove</w:t>
            </w:r>
            <w:r w:rsidR="005F646F">
              <w:t xml:space="preserve"> the following changes to the Constitution: </w:t>
            </w:r>
          </w:p>
        </w:tc>
      </w:tr>
      <w:tr w:rsidR="0030208D" w:rsidRPr="00975B07" w14:paraId="15EA5FE2" w14:textId="77777777" w:rsidTr="00FC735D">
        <w:trPr>
          <w:trHeight w:val="283"/>
        </w:trPr>
        <w:tc>
          <w:tcPr>
            <w:tcW w:w="733" w:type="dxa"/>
            <w:tcBorders>
              <w:top w:val="nil"/>
              <w:left w:val="single" w:sz="8" w:space="0" w:color="000000"/>
              <w:bottom w:val="nil"/>
              <w:right w:val="nil"/>
            </w:tcBorders>
          </w:tcPr>
          <w:p w14:paraId="15EA5FE0" w14:textId="50429ED0" w:rsidR="0030208D" w:rsidRPr="00975B07" w:rsidRDefault="00EE058A" w:rsidP="004A6D2F">
            <w:r>
              <w:t>a</w:t>
            </w:r>
            <w:r w:rsidR="00046D2B" w:rsidRPr="00975B07">
              <w:t>.</w:t>
            </w:r>
          </w:p>
        </w:tc>
        <w:tc>
          <w:tcPr>
            <w:tcW w:w="8419" w:type="dxa"/>
            <w:gridSpan w:val="2"/>
            <w:tcBorders>
              <w:top w:val="nil"/>
              <w:left w:val="nil"/>
              <w:bottom w:val="nil"/>
              <w:right w:val="single" w:sz="8" w:space="0" w:color="000000"/>
            </w:tcBorders>
            <w:shd w:val="clear" w:color="auto" w:fill="auto"/>
          </w:tcPr>
          <w:p w14:paraId="15EA5FE1" w14:textId="569A632F" w:rsidR="0030208D" w:rsidRPr="001356F1" w:rsidRDefault="005F646F" w:rsidP="002069B3">
            <w:r w:rsidRPr="00C50124">
              <w:rPr>
                <w:rStyle w:val="Firstpagetablebold"/>
                <w:b w:val="0"/>
                <w:bCs/>
              </w:rPr>
              <w:t xml:space="preserve">Where </w:t>
            </w:r>
            <w:r w:rsidR="00EA0494" w:rsidRPr="00C50124">
              <w:rPr>
                <w:rStyle w:val="Firstpagetablebold"/>
                <w:b w:val="0"/>
                <w:bCs/>
              </w:rPr>
              <w:t xml:space="preserve">the job title </w:t>
            </w:r>
            <w:r w:rsidR="00337FD4" w:rsidRPr="00C50124">
              <w:rPr>
                <w:rStyle w:val="Firstpagetablebold"/>
                <w:b w:val="0"/>
                <w:bCs/>
              </w:rPr>
              <w:t xml:space="preserve">“Head of Regulatory </w:t>
            </w:r>
            <w:r w:rsidR="00D67480" w:rsidRPr="00C50124">
              <w:rPr>
                <w:rStyle w:val="Firstpagetablebold"/>
                <w:b w:val="0"/>
                <w:bCs/>
              </w:rPr>
              <w:t xml:space="preserve">Services and Community Services” appears in respect of a Regulatory Services function that this be </w:t>
            </w:r>
            <w:r w:rsidR="006834C1" w:rsidRPr="00C50124">
              <w:rPr>
                <w:rStyle w:val="Firstpagetablebold"/>
                <w:b w:val="0"/>
                <w:bCs/>
              </w:rPr>
              <w:t xml:space="preserve">changed to </w:t>
            </w:r>
            <w:r w:rsidR="00214B97" w:rsidRPr="00C50124">
              <w:rPr>
                <w:rStyle w:val="Firstpagetablebold"/>
                <w:b w:val="0"/>
                <w:bCs/>
              </w:rPr>
              <w:t xml:space="preserve">Head of Planning </w:t>
            </w:r>
            <w:r w:rsidR="008F7FB3">
              <w:rPr>
                <w:rStyle w:val="Firstpagetablebold"/>
                <w:b w:val="0"/>
                <w:bCs/>
              </w:rPr>
              <w:t>&amp;</w:t>
            </w:r>
            <w:r w:rsidR="008F7FB3">
              <w:rPr>
                <w:rStyle w:val="Firstpagetablebold"/>
                <w:bCs/>
              </w:rPr>
              <w:t xml:space="preserve"> </w:t>
            </w:r>
            <w:r w:rsidR="008F7FB3" w:rsidRPr="008F7FB3">
              <w:rPr>
                <w:rStyle w:val="Firstpagetablebold"/>
                <w:b w:val="0"/>
              </w:rPr>
              <w:t xml:space="preserve">Regulatory </w:t>
            </w:r>
            <w:r w:rsidR="00214B97" w:rsidRPr="00C50124">
              <w:rPr>
                <w:rStyle w:val="Firstpagetablebold"/>
                <w:b w:val="0"/>
                <w:bCs/>
              </w:rPr>
              <w:t>Services</w:t>
            </w:r>
            <w:r w:rsidR="002069B3" w:rsidRPr="001356F1">
              <w:t>;</w:t>
            </w:r>
          </w:p>
        </w:tc>
      </w:tr>
      <w:tr w:rsidR="00232F5B" w:rsidRPr="00975B07" w14:paraId="15EA5FE5" w14:textId="77777777" w:rsidTr="00FC735D">
        <w:trPr>
          <w:trHeight w:val="283"/>
        </w:trPr>
        <w:tc>
          <w:tcPr>
            <w:tcW w:w="733" w:type="dxa"/>
            <w:tcBorders>
              <w:top w:val="nil"/>
              <w:left w:val="single" w:sz="8" w:space="0" w:color="000000"/>
              <w:bottom w:val="nil"/>
              <w:right w:val="nil"/>
            </w:tcBorders>
          </w:tcPr>
          <w:p w14:paraId="15EA5FE3" w14:textId="185619E3" w:rsidR="0030208D" w:rsidRPr="00975B07" w:rsidRDefault="00EE058A" w:rsidP="004A6D2F">
            <w:r>
              <w:t>b</w:t>
            </w:r>
            <w:r w:rsidR="00046D2B" w:rsidRPr="00975B07">
              <w:t>.</w:t>
            </w:r>
          </w:p>
        </w:tc>
        <w:tc>
          <w:tcPr>
            <w:tcW w:w="8419" w:type="dxa"/>
            <w:gridSpan w:val="2"/>
            <w:tcBorders>
              <w:top w:val="nil"/>
              <w:left w:val="nil"/>
              <w:bottom w:val="nil"/>
              <w:right w:val="single" w:sz="8" w:space="0" w:color="000000"/>
            </w:tcBorders>
            <w:shd w:val="clear" w:color="auto" w:fill="auto"/>
          </w:tcPr>
          <w:p w14:paraId="15EA5FE4" w14:textId="450F215D" w:rsidR="00FF1566" w:rsidRPr="00FF1566" w:rsidRDefault="00C50124" w:rsidP="005118F3">
            <w:pPr>
              <w:rPr>
                <w:bCs/>
              </w:rPr>
            </w:pPr>
            <w:r w:rsidRPr="00D25DB1">
              <w:rPr>
                <w:rStyle w:val="Firstpagetablebold"/>
                <w:b w:val="0"/>
                <w:bCs/>
              </w:rPr>
              <w:t>Where the job title</w:t>
            </w:r>
            <w:r>
              <w:rPr>
                <w:rStyle w:val="Firstpagetablebold"/>
              </w:rPr>
              <w:t xml:space="preserve"> </w:t>
            </w:r>
            <w:r w:rsidRPr="00C50124">
              <w:rPr>
                <w:rStyle w:val="Firstpagetablebold"/>
                <w:b w:val="0"/>
                <w:bCs/>
              </w:rPr>
              <w:t>“Head of Regulatory Services and Community Services</w:t>
            </w:r>
            <w:r w:rsidR="00A05D0E">
              <w:rPr>
                <w:rStyle w:val="Firstpagetablebold"/>
                <w:b w:val="0"/>
                <w:bCs/>
              </w:rPr>
              <w:t xml:space="preserve">” is referred to </w:t>
            </w:r>
            <w:r w:rsidR="005F609D">
              <w:rPr>
                <w:rStyle w:val="Firstpagetablebold"/>
                <w:b w:val="0"/>
                <w:bCs/>
              </w:rPr>
              <w:t>other</w:t>
            </w:r>
            <w:r w:rsidR="00A05D0E">
              <w:rPr>
                <w:rStyle w:val="Firstpagetablebold"/>
                <w:b w:val="0"/>
                <w:bCs/>
              </w:rPr>
              <w:t xml:space="preserve"> than in relation to </w:t>
            </w:r>
            <w:r w:rsidR="005F609D">
              <w:rPr>
                <w:rStyle w:val="Firstpagetablebold"/>
                <w:b w:val="0"/>
                <w:bCs/>
              </w:rPr>
              <w:t>Regulatory</w:t>
            </w:r>
            <w:r w:rsidR="00A05D0E">
              <w:rPr>
                <w:rStyle w:val="Firstpagetablebold"/>
                <w:b w:val="0"/>
                <w:bCs/>
              </w:rPr>
              <w:t xml:space="preserve"> Services, that it be changed to the </w:t>
            </w:r>
            <w:r w:rsidR="005D076D" w:rsidRPr="005D076D">
              <w:rPr>
                <w:rStyle w:val="Firstpagetablebold"/>
                <w:b w:val="0"/>
                <w:bCs/>
              </w:rPr>
              <w:t>Executive</w:t>
            </w:r>
            <w:r w:rsidR="00C05592">
              <w:rPr>
                <w:rStyle w:val="Firstpagetablebold"/>
                <w:bCs/>
              </w:rPr>
              <w:t xml:space="preserve"> </w:t>
            </w:r>
            <w:r w:rsidR="00A05D0E">
              <w:rPr>
                <w:rStyle w:val="Firstpagetablebold"/>
                <w:b w:val="0"/>
                <w:bCs/>
              </w:rPr>
              <w:t>Director</w:t>
            </w:r>
            <w:r w:rsidR="005D076D">
              <w:rPr>
                <w:rStyle w:val="Firstpagetablebold"/>
                <w:b w:val="0"/>
                <w:bCs/>
              </w:rPr>
              <w:t xml:space="preserve"> for Communities and</w:t>
            </w:r>
            <w:r w:rsidR="00A05D0E">
              <w:rPr>
                <w:rStyle w:val="Firstpagetablebold"/>
                <w:b w:val="0"/>
                <w:bCs/>
              </w:rPr>
              <w:t xml:space="preserve"> People. </w:t>
            </w:r>
          </w:p>
        </w:tc>
      </w:tr>
      <w:tr w:rsidR="00FF1566" w:rsidRPr="00975B07" w14:paraId="0993376E" w14:textId="77777777" w:rsidTr="00FC735D">
        <w:trPr>
          <w:trHeight w:val="283"/>
        </w:trPr>
        <w:tc>
          <w:tcPr>
            <w:tcW w:w="733" w:type="dxa"/>
            <w:tcBorders>
              <w:top w:val="nil"/>
              <w:left w:val="single" w:sz="8" w:space="0" w:color="000000"/>
              <w:bottom w:val="nil"/>
              <w:right w:val="nil"/>
            </w:tcBorders>
          </w:tcPr>
          <w:p w14:paraId="51E3A6C7" w14:textId="736C1D58" w:rsidR="00FF1566" w:rsidRDefault="00FF1566" w:rsidP="004A6D2F">
            <w:r>
              <w:t>c.</w:t>
            </w:r>
          </w:p>
        </w:tc>
        <w:tc>
          <w:tcPr>
            <w:tcW w:w="8419" w:type="dxa"/>
            <w:gridSpan w:val="2"/>
            <w:tcBorders>
              <w:top w:val="nil"/>
              <w:left w:val="nil"/>
              <w:bottom w:val="nil"/>
              <w:right w:val="single" w:sz="8" w:space="0" w:color="000000"/>
            </w:tcBorders>
            <w:shd w:val="clear" w:color="auto" w:fill="auto"/>
          </w:tcPr>
          <w:p w14:paraId="25820F57" w14:textId="2B99C45E" w:rsidR="00FF1566" w:rsidRPr="00FF1566" w:rsidRDefault="00FF1566" w:rsidP="005118F3">
            <w:pPr>
              <w:rPr>
                <w:rStyle w:val="Firstpagetablebold"/>
                <w:b w:val="0"/>
              </w:rPr>
            </w:pPr>
            <w:r w:rsidRPr="00FF1566">
              <w:rPr>
                <w:rStyle w:val="Firstpagetablebold"/>
                <w:b w:val="0"/>
              </w:rPr>
              <w:t>All other references to the Head of Planning Services be updated to be references to the Head of Planning &amp; Regulatory Services within the remainder of the constitution.</w:t>
            </w:r>
          </w:p>
        </w:tc>
      </w:tr>
      <w:tr w:rsidR="00232F5B" w:rsidRPr="00975B07" w14:paraId="15EA5FEB" w14:textId="77777777" w:rsidTr="00FC735D">
        <w:trPr>
          <w:trHeight w:val="283"/>
        </w:trPr>
        <w:tc>
          <w:tcPr>
            <w:tcW w:w="733" w:type="dxa"/>
            <w:tcBorders>
              <w:top w:val="nil"/>
              <w:left w:val="single" w:sz="8" w:space="0" w:color="000000"/>
              <w:bottom w:val="single" w:sz="8" w:space="0" w:color="000000"/>
              <w:right w:val="nil"/>
            </w:tcBorders>
          </w:tcPr>
          <w:p w14:paraId="15EA5FE9" w14:textId="52BC82EC" w:rsidR="0030208D" w:rsidRPr="00975B07" w:rsidRDefault="00312B6E" w:rsidP="004A6D2F">
            <w:r>
              <w:t xml:space="preserve">2. </w:t>
            </w:r>
          </w:p>
        </w:tc>
        <w:tc>
          <w:tcPr>
            <w:tcW w:w="8419" w:type="dxa"/>
            <w:gridSpan w:val="2"/>
            <w:tcBorders>
              <w:top w:val="nil"/>
              <w:left w:val="nil"/>
              <w:bottom w:val="single" w:sz="8" w:space="0" w:color="000000"/>
              <w:right w:val="single" w:sz="8" w:space="0" w:color="000000"/>
            </w:tcBorders>
            <w:shd w:val="clear" w:color="auto" w:fill="auto"/>
          </w:tcPr>
          <w:p w14:paraId="15EA5FEA" w14:textId="125942F2" w:rsidR="0030208D" w:rsidRPr="001356F1" w:rsidRDefault="00312B6E" w:rsidP="00247C29">
            <w:r w:rsidRPr="00D25DB1">
              <w:rPr>
                <w:b/>
                <w:bCs/>
              </w:rPr>
              <w:t>Note</w:t>
            </w:r>
            <w:r>
              <w:t xml:space="preserve"> that the changes will take effect as of the 17 October 2023</w:t>
            </w:r>
          </w:p>
        </w:tc>
      </w:tr>
    </w:tbl>
    <w:p w14:paraId="15EA5FEC"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5EA5FE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5EA5FED" w14:textId="77777777" w:rsidR="00966D42" w:rsidRPr="00975B07" w:rsidRDefault="00966D42" w:rsidP="00263EA3">
            <w:pPr>
              <w:jc w:val="center"/>
            </w:pPr>
            <w:r w:rsidRPr="00745BF0">
              <w:rPr>
                <w:rStyle w:val="Firstpagetablebold"/>
              </w:rPr>
              <w:t>Appendices</w:t>
            </w:r>
          </w:p>
        </w:tc>
      </w:tr>
      <w:tr w:rsidR="00ED5860" w:rsidRPr="00975B07" w14:paraId="15EA5FF1" w14:textId="77777777" w:rsidTr="00A46E98">
        <w:tc>
          <w:tcPr>
            <w:tcW w:w="2438" w:type="dxa"/>
            <w:tcBorders>
              <w:top w:val="single" w:sz="8" w:space="0" w:color="000000"/>
              <w:left w:val="single" w:sz="8" w:space="0" w:color="000000"/>
              <w:bottom w:val="nil"/>
              <w:right w:val="nil"/>
            </w:tcBorders>
            <w:shd w:val="clear" w:color="auto" w:fill="auto"/>
          </w:tcPr>
          <w:p w14:paraId="15EA5FEF" w14:textId="78F138AC" w:rsidR="00ED5860" w:rsidRPr="00975B07" w:rsidRDefault="006A5A13" w:rsidP="004A6D2F">
            <w:r>
              <w:t>None</w:t>
            </w:r>
          </w:p>
        </w:tc>
        <w:tc>
          <w:tcPr>
            <w:tcW w:w="6406" w:type="dxa"/>
            <w:tcBorders>
              <w:top w:val="single" w:sz="8" w:space="0" w:color="000000"/>
              <w:left w:val="nil"/>
              <w:bottom w:val="nil"/>
              <w:right w:val="single" w:sz="8" w:space="0" w:color="000000"/>
            </w:tcBorders>
          </w:tcPr>
          <w:p w14:paraId="15EA5FF0" w14:textId="05BDB023" w:rsidR="00ED5860" w:rsidRPr="001356F1" w:rsidRDefault="00ED5860" w:rsidP="004A6D2F"/>
        </w:tc>
      </w:tr>
      <w:tr w:rsidR="0030208D" w:rsidRPr="00975B07" w14:paraId="15EA5FFA" w14:textId="77777777" w:rsidTr="00A46E98">
        <w:tc>
          <w:tcPr>
            <w:tcW w:w="2438" w:type="dxa"/>
            <w:tcBorders>
              <w:top w:val="nil"/>
              <w:left w:val="single" w:sz="8" w:space="0" w:color="000000"/>
              <w:bottom w:val="single" w:sz="8" w:space="0" w:color="000000"/>
              <w:right w:val="nil"/>
            </w:tcBorders>
            <w:shd w:val="clear" w:color="auto" w:fill="auto"/>
          </w:tcPr>
          <w:p w14:paraId="15EA5FF8" w14:textId="3E81699E" w:rsidR="0030208D" w:rsidRPr="00975B07" w:rsidRDefault="0030208D" w:rsidP="004A6D2F"/>
        </w:tc>
        <w:tc>
          <w:tcPr>
            <w:tcW w:w="6406" w:type="dxa"/>
            <w:tcBorders>
              <w:top w:val="nil"/>
              <w:left w:val="nil"/>
              <w:bottom w:val="single" w:sz="8" w:space="0" w:color="000000"/>
              <w:right w:val="single" w:sz="8" w:space="0" w:color="000000"/>
            </w:tcBorders>
          </w:tcPr>
          <w:p w14:paraId="15EA5FF9" w14:textId="0EEA2E21" w:rsidR="0030208D" w:rsidRPr="001356F1" w:rsidRDefault="0030208D" w:rsidP="004A6D2F"/>
        </w:tc>
      </w:tr>
    </w:tbl>
    <w:p w14:paraId="15EA5FFB"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CAFD7FB" w14:textId="69ADFEF3" w:rsidR="005162D2" w:rsidRDefault="005162D2" w:rsidP="005162D2">
      <w:pPr>
        <w:spacing w:before="100" w:beforeAutospacing="1" w:after="100" w:afterAutospacing="1"/>
        <w:rPr>
          <w:sz w:val="22"/>
          <w:szCs w:val="22"/>
        </w:rPr>
      </w:pPr>
      <w:r w:rsidRPr="005162D2">
        <w:rPr>
          <w:rStyle w:val="contentpasted1"/>
          <w:color w:val="auto"/>
          <w:bdr w:val="none" w:sz="0" w:space="0" w:color="auto" w:frame="1"/>
          <w:shd w:val="clear" w:color="auto" w:fill="FFFFFF"/>
        </w:rPr>
        <w:t>1.</w:t>
      </w:r>
      <w:r w:rsidRPr="005162D2">
        <w:rPr>
          <w:rStyle w:val="contentpasted1"/>
          <w:color w:val="auto"/>
          <w:sz w:val="14"/>
          <w:szCs w:val="14"/>
          <w:bdr w:val="none" w:sz="0" w:space="0" w:color="auto" w:frame="1"/>
          <w:shd w:val="clear" w:color="auto" w:fill="FFFFFF"/>
        </w:rPr>
        <w:t> </w:t>
      </w:r>
      <w:r w:rsidRPr="005162D2">
        <w:rPr>
          <w:rStyle w:val="contentpasted1"/>
          <w:color w:val="auto"/>
        </w:rPr>
        <w:t xml:space="preserve">Following the retirement of the Head of Regulatory Services and Community Service, </w:t>
      </w:r>
      <w:r w:rsidRPr="005162D2">
        <w:rPr>
          <w:rStyle w:val="contentpasted1"/>
          <w:color w:val="auto"/>
          <w:shd w:val="clear" w:color="auto" w:fill="FFFFFF"/>
        </w:rPr>
        <w:t xml:space="preserve">the decision has been made not to replace this role, but to transfer the functions to other senior officers in the council.  This will assist in meeting the council's financial challenges whilst providing opportunities for collaboration and join up of services.  Regulatory Services will move to the Head of Planning and Regulatory </w:t>
      </w:r>
      <w:r w:rsidRPr="005162D2">
        <w:rPr>
          <w:rStyle w:val="contentpasted1"/>
          <w:color w:val="auto"/>
          <w:shd w:val="clear" w:color="auto" w:fill="FFFFFF"/>
        </w:rPr>
        <w:lastRenderedPageBreak/>
        <w:t>Services. The reminder of the functions, Community Services, will report directly to the </w:t>
      </w:r>
      <w:r w:rsidRPr="005162D2">
        <w:rPr>
          <w:rStyle w:val="contentpasted1"/>
          <w:color w:val="auto"/>
          <w:bdr w:val="none" w:sz="0" w:space="0" w:color="auto" w:frame="1"/>
        </w:rPr>
        <w:t>Executive Director for Communities and People</w:t>
      </w:r>
      <w:r w:rsidRPr="005162D2">
        <w:rPr>
          <w:rStyle w:val="contentpasted1"/>
          <w:color w:val="auto"/>
        </w:rPr>
        <w:t xml:space="preserve">. </w:t>
      </w:r>
      <w:r w:rsidRPr="005162D2">
        <w:rPr>
          <w:rStyle w:val="contentpasted1"/>
          <w:color w:val="auto"/>
          <w:shd w:val="clear" w:color="auto" w:fill="FFFFFF"/>
        </w:rPr>
        <w:t>The proposed changes to the constitution are required ensure that the appropriate to postholder has the authority to undertake the functions for which they are responsible.</w:t>
      </w:r>
    </w:p>
    <w:p w14:paraId="15EA600B" w14:textId="77777777" w:rsidR="0040736F" w:rsidRPr="001356F1" w:rsidRDefault="002329CF" w:rsidP="004A6D2F">
      <w:pPr>
        <w:pStyle w:val="Heading1"/>
      </w:pPr>
      <w:r w:rsidRPr="001356F1">
        <w:t>Financial implications</w:t>
      </w:r>
    </w:p>
    <w:p w14:paraId="15EA600C" w14:textId="4E991F25" w:rsidR="00E87F7A" w:rsidRPr="001356F1" w:rsidRDefault="005D076D" w:rsidP="005570B5">
      <w:pPr>
        <w:pStyle w:val="ListParagraph"/>
      </w:pPr>
      <w:r>
        <w:t xml:space="preserve">There are no </w:t>
      </w:r>
      <w:r w:rsidR="00DD1E41">
        <w:t>financial</w:t>
      </w:r>
      <w:r>
        <w:t xml:space="preserve"> implications arising from th</w:t>
      </w:r>
      <w:r w:rsidR="008D58B2">
        <w:t>e recommendations of this report</w:t>
      </w:r>
      <w:r w:rsidR="00E87F7A" w:rsidRPr="001356F1">
        <w:t>.</w:t>
      </w:r>
    </w:p>
    <w:p w14:paraId="15EA600D" w14:textId="77777777" w:rsidR="0040736F" w:rsidRPr="001356F1" w:rsidRDefault="00DA614B" w:rsidP="004A6D2F">
      <w:pPr>
        <w:pStyle w:val="Heading1"/>
      </w:pPr>
      <w:r w:rsidRPr="001356F1">
        <w:t>Legal issues</w:t>
      </w:r>
    </w:p>
    <w:p w14:paraId="15EA600E" w14:textId="3C1C603A" w:rsidR="00E87F7A" w:rsidRPr="001356F1" w:rsidRDefault="007508F9" w:rsidP="005570B5">
      <w:pPr>
        <w:pStyle w:val="ListParagraph"/>
      </w:pPr>
      <w:r>
        <w:t xml:space="preserve">This will ensure that the Council has an update to date and clear line of responsibility for functions, including the exercise of statutory powers. </w:t>
      </w:r>
    </w:p>
    <w:p w14:paraId="60022786" w14:textId="6A39B082" w:rsidR="005D51CF" w:rsidRDefault="005D51CF" w:rsidP="0050321C">
      <w:pPr>
        <w:pStyle w:val="Heading1"/>
      </w:pPr>
      <w:r>
        <w:t xml:space="preserve">Risk implications </w:t>
      </w:r>
    </w:p>
    <w:p w14:paraId="11EF201C" w14:textId="3C703009" w:rsidR="005D51CF" w:rsidRPr="005D51CF" w:rsidRDefault="005D51CF" w:rsidP="005D51CF">
      <w:pPr>
        <w:pStyle w:val="ListParagraph"/>
      </w:pPr>
      <w:r>
        <w:t xml:space="preserve">If the amendments are not made it may affect the validity of </w:t>
      </w:r>
      <w:r w:rsidR="00C233D6">
        <w:t xml:space="preserve">the exercise of statutory functions or leave a gap in terms of who is able to exercise them, impacting on service delivery. </w:t>
      </w:r>
    </w:p>
    <w:p w14:paraId="15EA6011" w14:textId="28E478FC" w:rsidR="002329CF" w:rsidRPr="001356F1" w:rsidRDefault="002329CF" w:rsidP="0050321C">
      <w:pPr>
        <w:pStyle w:val="Heading1"/>
      </w:pPr>
      <w:r w:rsidRPr="001356F1">
        <w:t xml:space="preserve">Equalities impact </w:t>
      </w:r>
    </w:p>
    <w:p w14:paraId="15EA6012" w14:textId="5BBE279E" w:rsidR="002329CF" w:rsidRPr="001356F1" w:rsidRDefault="007508F9" w:rsidP="005570B5">
      <w:pPr>
        <w:pStyle w:val="ListParagraph"/>
      </w:pPr>
      <w:r>
        <w:t>No Equalities Impact Assessment is required as this is purely a change to align functions within the Council but will not impact on the delivery of any of the functions.</w:t>
      </w:r>
    </w:p>
    <w:p w14:paraId="15EA601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5EA601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EA601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5EA6017" w14:textId="52F4FD83" w:rsidR="00E87F7A" w:rsidRPr="001356F1" w:rsidRDefault="00D633C4" w:rsidP="00A46E98">
            <w:r>
              <w:t>Emma Jackman</w:t>
            </w:r>
          </w:p>
        </w:tc>
      </w:tr>
      <w:tr w:rsidR="00DF093E" w:rsidRPr="001356F1" w14:paraId="15EA601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5EA6019"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5EA601A" w14:textId="45A718E9" w:rsidR="00E87F7A" w:rsidRPr="001356F1" w:rsidRDefault="00D633C4" w:rsidP="00A46E98">
            <w:r>
              <w:t xml:space="preserve">Head of Law &amp; Governance </w:t>
            </w:r>
          </w:p>
        </w:tc>
      </w:tr>
      <w:tr w:rsidR="00DF093E" w:rsidRPr="001356F1" w14:paraId="15EA601E" w14:textId="77777777" w:rsidTr="00A46E98">
        <w:trPr>
          <w:cantSplit/>
          <w:trHeight w:val="396"/>
        </w:trPr>
        <w:tc>
          <w:tcPr>
            <w:tcW w:w="3969" w:type="dxa"/>
            <w:tcBorders>
              <w:top w:val="nil"/>
              <w:left w:val="single" w:sz="8" w:space="0" w:color="000000"/>
              <w:bottom w:val="nil"/>
              <w:right w:val="nil"/>
            </w:tcBorders>
            <w:shd w:val="clear" w:color="auto" w:fill="auto"/>
          </w:tcPr>
          <w:p w14:paraId="15EA601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5EA601D" w14:textId="7D6E8A3E" w:rsidR="00E87F7A" w:rsidRPr="001356F1" w:rsidRDefault="00D633C4" w:rsidP="00A46E98">
            <w:r>
              <w:t xml:space="preserve">Corporate Services </w:t>
            </w:r>
          </w:p>
        </w:tc>
      </w:tr>
      <w:tr w:rsidR="00DF093E" w:rsidRPr="001356F1" w14:paraId="15EA6021" w14:textId="77777777" w:rsidTr="00A46E98">
        <w:trPr>
          <w:cantSplit/>
          <w:trHeight w:val="396"/>
        </w:trPr>
        <w:tc>
          <w:tcPr>
            <w:tcW w:w="3969" w:type="dxa"/>
            <w:tcBorders>
              <w:top w:val="nil"/>
              <w:left w:val="single" w:sz="8" w:space="0" w:color="000000"/>
              <w:bottom w:val="nil"/>
              <w:right w:val="nil"/>
            </w:tcBorders>
            <w:shd w:val="clear" w:color="auto" w:fill="auto"/>
          </w:tcPr>
          <w:p w14:paraId="15EA601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5EA6020" w14:textId="50D48E48" w:rsidR="00E87F7A" w:rsidRPr="001356F1" w:rsidRDefault="00E87F7A" w:rsidP="00A46E98">
            <w:r w:rsidRPr="001356F1">
              <w:t xml:space="preserve">01865 </w:t>
            </w:r>
            <w:r w:rsidR="00C94DFA">
              <w:t>252419</w:t>
            </w:r>
            <w:r w:rsidRPr="001356F1">
              <w:t xml:space="preserve">  </w:t>
            </w:r>
          </w:p>
        </w:tc>
      </w:tr>
      <w:tr w:rsidR="005570B5" w:rsidRPr="001356F1" w14:paraId="15EA602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5EA602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5EA6023" w14:textId="05A323F5" w:rsidR="00E87F7A" w:rsidRPr="001356F1" w:rsidRDefault="00D633C4" w:rsidP="00A46E98">
            <w:pPr>
              <w:rPr>
                <w:rStyle w:val="Hyperlink"/>
                <w:color w:val="000000"/>
              </w:rPr>
            </w:pPr>
            <w:r>
              <w:rPr>
                <w:rStyle w:val="Hyperlink"/>
                <w:color w:val="000000"/>
              </w:rPr>
              <w:t>ejackman@oxford.gov.uk</w:t>
            </w:r>
          </w:p>
        </w:tc>
      </w:tr>
    </w:tbl>
    <w:p w14:paraId="15EA602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15EA6027"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5EA602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15EA602A" w14:textId="77777777" w:rsidTr="00A46E98">
        <w:tc>
          <w:tcPr>
            <w:tcW w:w="567" w:type="dxa"/>
            <w:tcBorders>
              <w:top w:val="single" w:sz="8" w:space="0" w:color="000000"/>
              <w:left w:val="single" w:sz="8" w:space="0" w:color="000000"/>
              <w:bottom w:val="nil"/>
              <w:right w:val="nil"/>
            </w:tcBorders>
            <w:shd w:val="clear" w:color="auto" w:fill="auto"/>
          </w:tcPr>
          <w:p w14:paraId="15EA6028" w14:textId="77777777"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14:paraId="15EA6029" w14:textId="40D94BBF" w:rsidR="0093067A" w:rsidRPr="001356F1" w:rsidRDefault="00C94DFA" w:rsidP="005D0621">
            <w:r>
              <w:t xml:space="preserve">The Council’s constitution </w:t>
            </w:r>
          </w:p>
        </w:tc>
      </w:tr>
      <w:tr w:rsidR="005570B5" w:rsidRPr="00A46E98" w14:paraId="15EA6033" w14:textId="77777777" w:rsidTr="00A46E98">
        <w:tc>
          <w:tcPr>
            <w:tcW w:w="567" w:type="dxa"/>
            <w:tcBorders>
              <w:top w:val="nil"/>
              <w:left w:val="single" w:sz="8" w:space="0" w:color="000000"/>
              <w:bottom w:val="single" w:sz="8" w:space="0" w:color="000000"/>
              <w:right w:val="nil"/>
            </w:tcBorders>
            <w:shd w:val="clear" w:color="auto" w:fill="auto"/>
          </w:tcPr>
          <w:p w14:paraId="15EA6031" w14:textId="0D479D3B" w:rsidR="0093067A" w:rsidRPr="00A46E98" w:rsidRDefault="0093067A" w:rsidP="00F41AC1"/>
        </w:tc>
        <w:tc>
          <w:tcPr>
            <w:tcW w:w="8364" w:type="dxa"/>
            <w:tcBorders>
              <w:top w:val="nil"/>
              <w:left w:val="nil"/>
              <w:bottom w:val="single" w:sz="8" w:space="0" w:color="000000"/>
              <w:right w:val="single" w:sz="8" w:space="0" w:color="000000"/>
            </w:tcBorders>
          </w:tcPr>
          <w:p w14:paraId="15EA6032" w14:textId="77777777" w:rsidR="0093067A" w:rsidRPr="00A46E98" w:rsidRDefault="0093067A" w:rsidP="00F41AC1"/>
        </w:tc>
      </w:tr>
    </w:tbl>
    <w:p w14:paraId="15EA6034" w14:textId="77777777" w:rsidR="00CE4C87" w:rsidRDefault="00CE4C87" w:rsidP="0093067A"/>
    <w:sectPr w:rsidR="00CE4C87"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EA1E" w14:textId="77777777" w:rsidR="00AC03D9" w:rsidRDefault="00AC03D9" w:rsidP="004A6D2F">
      <w:r>
        <w:separator/>
      </w:r>
    </w:p>
  </w:endnote>
  <w:endnote w:type="continuationSeparator" w:id="0">
    <w:p w14:paraId="0C83DBB7" w14:textId="77777777" w:rsidR="00AC03D9" w:rsidRDefault="00AC03D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057" w14:textId="77777777" w:rsidR="00364FAD" w:rsidRDefault="00364FAD" w:rsidP="004A6D2F">
    <w:pPr>
      <w:pStyle w:val="Footer"/>
    </w:pPr>
    <w:r>
      <w:t>Do not use a footer or page numbers.</w:t>
    </w:r>
  </w:p>
  <w:p w14:paraId="15EA6058" w14:textId="77777777" w:rsidR="00364FAD" w:rsidRDefault="00364FAD" w:rsidP="004A6D2F">
    <w:pPr>
      <w:pStyle w:val="Footer"/>
    </w:pPr>
  </w:p>
  <w:p w14:paraId="15EA6059"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05B"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4A4" w14:textId="77777777" w:rsidR="00AC03D9" w:rsidRDefault="00AC03D9" w:rsidP="004A6D2F">
      <w:r>
        <w:separator/>
      </w:r>
    </w:p>
  </w:footnote>
  <w:footnote w:type="continuationSeparator" w:id="0">
    <w:p w14:paraId="5960437F" w14:textId="77777777" w:rsidR="00AC03D9" w:rsidRDefault="00AC03D9"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05A" w14:textId="77777777" w:rsidR="00D5547E" w:rsidRDefault="00DD2FED" w:rsidP="00D5547E">
    <w:pPr>
      <w:pStyle w:val="Header"/>
      <w:jc w:val="right"/>
    </w:pPr>
    <w:r>
      <w:rPr>
        <w:noProof/>
      </w:rPr>
      <w:drawing>
        <wp:inline distT="0" distB="0" distL="0" distR="0" wp14:anchorId="15EA605C" wp14:editId="15EA605D">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726919"/>
    <w:multiLevelType w:val="hybridMultilevel"/>
    <w:tmpl w:val="DB8C0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365C6"/>
    <w:multiLevelType w:val="multilevel"/>
    <w:tmpl w:val="E67CE66C"/>
    <w:numStyleLink w:val="StyleNumberedLeft0cmHanging075cm"/>
  </w:abstractNum>
  <w:num w:numId="1" w16cid:durableId="540944000">
    <w:abstractNumId w:val="25"/>
  </w:num>
  <w:num w:numId="2" w16cid:durableId="324940040">
    <w:abstractNumId w:val="30"/>
  </w:num>
  <w:num w:numId="3" w16cid:durableId="215167676">
    <w:abstractNumId w:val="22"/>
  </w:num>
  <w:num w:numId="4" w16cid:durableId="1730036374">
    <w:abstractNumId w:val="18"/>
  </w:num>
  <w:num w:numId="5" w16cid:durableId="1430394102">
    <w:abstractNumId w:val="27"/>
  </w:num>
  <w:num w:numId="6" w16cid:durableId="1749771540">
    <w:abstractNumId w:val="31"/>
  </w:num>
  <w:num w:numId="7" w16cid:durableId="1752969433">
    <w:abstractNumId w:val="21"/>
  </w:num>
  <w:num w:numId="8" w16cid:durableId="1031803558">
    <w:abstractNumId w:val="19"/>
  </w:num>
  <w:num w:numId="9" w16cid:durableId="1142430651">
    <w:abstractNumId w:val="13"/>
  </w:num>
  <w:num w:numId="10" w16cid:durableId="17705395">
    <w:abstractNumId w:val="15"/>
  </w:num>
  <w:num w:numId="11" w16cid:durableId="1444812394">
    <w:abstractNumId w:val="24"/>
  </w:num>
  <w:num w:numId="12" w16cid:durableId="1943492670">
    <w:abstractNumId w:val="23"/>
  </w:num>
  <w:num w:numId="13" w16cid:durableId="1223715569">
    <w:abstractNumId w:val="10"/>
  </w:num>
  <w:num w:numId="14" w16cid:durableId="2027511755">
    <w:abstractNumId w:val="33"/>
  </w:num>
  <w:num w:numId="15" w16cid:durableId="255679245">
    <w:abstractNumId w:val="16"/>
  </w:num>
  <w:num w:numId="16" w16cid:durableId="857157769">
    <w:abstractNumId w:val="11"/>
  </w:num>
  <w:num w:numId="17" w16cid:durableId="469785982">
    <w:abstractNumId w:val="26"/>
  </w:num>
  <w:num w:numId="18" w16cid:durableId="1674720784">
    <w:abstractNumId w:val="12"/>
  </w:num>
  <w:num w:numId="19" w16cid:durableId="1656294548">
    <w:abstractNumId w:val="28"/>
  </w:num>
  <w:num w:numId="20" w16cid:durableId="923609675">
    <w:abstractNumId w:val="17"/>
  </w:num>
  <w:num w:numId="21" w16cid:durableId="1898125989">
    <w:abstractNumId w:val="20"/>
  </w:num>
  <w:num w:numId="22" w16cid:durableId="1635023115">
    <w:abstractNumId w:val="14"/>
  </w:num>
  <w:num w:numId="23" w16cid:durableId="286012554">
    <w:abstractNumId w:val="29"/>
  </w:num>
  <w:num w:numId="24" w16cid:durableId="139033401">
    <w:abstractNumId w:val="9"/>
  </w:num>
  <w:num w:numId="25" w16cid:durableId="1487471244">
    <w:abstractNumId w:val="8"/>
  </w:num>
  <w:num w:numId="26" w16cid:durableId="523831884">
    <w:abstractNumId w:val="7"/>
  </w:num>
  <w:num w:numId="27" w16cid:durableId="387387297">
    <w:abstractNumId w:val="6"/>
  </w:num>
  <w:num w:numId="28" w16cid:durableId="1104837862">
    <w:abstractNumId w:val="5"/>
  </w:num>
  <w:num w:numId="29" w16cid:durableId="733047476">
    <w:abstractNumId w:val="4"/>
  </w:num>
  <w:num w:numId="30" w16cid:durableId="1512840544">
    <w:abstractNumId w:val="3"/>
  </w:num>
  <w:num w:numId="31" w16cid:durableId="1382823056">
    <w:abstractNumId w:val="2"/>
  </w:num>
  <w:num w:numId="32" w16cid:durableId="332074163">
    <w:abstractNumId w:val="1"/>
  </w:num>
  <w:num w:numId="33" w16cid:durableId="1952587510">
    <w:abstractNumId w:val="0"/>
  </w:num>
  <w:num w:numId="34" w16cid:durableId="591112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117D4"/>
    <w:rsid w:val="000254A8"/>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5495E"/>
    <w:rsid w:val="00170A2D"/>
    <w:rsid w:val="001808BC"/>
    <w:rsid w:val="00182B81"/>
    <w:rsid w:val="0018619D"/>
    <w:rsid w:val="001A011E"/>
    <w:rsid w:val="001A066A"/>
    <w:rsid w:val="001A13E6"/>
    <w:rsid w:val="001A5731"/>
    <w:rsid w:val="001B42C3"/>
    <w:rsid w:val="001C5D5E"/>
    <w:rsid w:val="001D678D"/>
    <w:rsid w:val="001E01FC"/>
    <w:rsid w:val="001E03F8"/>
    <w:rsid w:val="001E3376"/>
    <w:rsid w:val="002069B3"/>
    <w:rsid w:val="00214B97"/>
    <w:rsid w:val="002329CF"/>
    <w:rsid w:val="00232F5B"/>
    <w:rsid w:val="00247C29"/>
    <w:rsid w:val="00260467"/>
    <w:rsid w:val="00263EA3"/>
    <w:rsid w:val="00284F85"/>
    <w:rsid w:val="00290915"/>
    <w:rsid w:val="002A22E2"/>
    <w:rsid w:val="002C64F7"/>
    <w:rsid w:val="002F41F2"/>
    <w:rsid w:val="00301BF3"/>
    <w:rsid w:val="0030208D"/>
    <w:rsid w:val="00312B6E"/>
    <w:rsid w:val="00323418"/>
    <w:rsid w:val="003357BF"/>
    <w:rsid w:val="00337FD4"/>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118F3"/>
    <w:rsid w:val="005162D2"/>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076D"/>
    <w:rsid w:val="005D1E27"/>
    <w:rsid w:val="005D51CF"/>
    <w:rsid w:val="005E022E"/>
    <w:rsid w:val="005E5215"/>
    <w:rsid w:val="005F609D"/>
    <w:rsid w:val="005F646F"/>
    <w:rsid w:val="005F7F7E"/>
    <w:rsid w:val="00614693"/>
    <w:rsid w:val="00623C2F"/>
    <w:rsid w:val="00632A88"/>
    <w:rsid w:val="00633578"/>
    <w:rsid w:val="00637068"/>
    <w:rsid w:val="00640D82"/>
    <w:rsid w:val="00650811"/>
    <w:rsid w:val="00661D3E"/>
    <w:rsid w:val="00667A0E"/>
    <w:rsid w:val="006834C1"/>
    <w:rsid w:val="00692627"/>
    <w:rsid w:val="006969E7"/>
    <w:rsid w:val="006A3643"/>
    <w:rsid w:val="006A5A13"/>
    <w:rsid w:val="006C2A29"/>
    <w:rsid w:val="006C64CF"/>
    <w:rsid w:val="006D17B1"/>
    <w:rsid w:val="006D708A"/>
    <w:rsid w:val="006E14C1"/>
    <w:rsid w:val="006F0292"/>
    <w:rsid w:val="006F416B"/>
    <w:rsid w:val="006F519B"/>
    <w:rsid w:val="00713675"/>
    <w:rsid w:val="00715823"/>
    <w:rsid w:val="00717F2C"/>
    <w:rsid w:val="0073389F"/>
    <w:rsid w:val="00737B93"/>
    <w:rsid w:val="00745BF0"/>
    <w:rsid w:val="007508F9"/>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C5156"/>
    <w:rsid w:val="008D22B9"/>
    <w:rsid w:val="008D3DDB"/>
    <w:rsid w:val="008D58B2"/>
    <w:rsid w:val="008F573F"/>
    <w:rsid w:val="008F64AA"/>
    <w:rsid w:val="008F7FB3"/>
    <w:rsid w:val="009034EC"/>
    <w:rsid w:val="00920BB6"/>
    <w:rsid w:val="0093067A"/>
    <w:rsid w:val="00941C60"/>
    <w:rsid w:val="00966D42"/>
    <w:rsid w:val="00971689"/>
    <w:rsid w:val="00973E90"/>
    <w:rsid w:val="00975B07"/>
    <w:rsid w:val="00980B4A"/>
    <w:rsid w:val="009E3D0A"/>
    <w:rsid w:val="009E51FC"/>
    <w:rsid w:val="009F1D28"/>
    <w:rsid w:val="009F7618"/>
    <w:rsid w:val="00A04D23"/>
    <w:rsid w:val="00A05D0E"/>
    <w:rsid w:val="00A0649C"/>
    <w:rsid w:val="00A06766"/>
    <w:rsid w:val="00A13765"/>
    <w:rsid w:val="00A21B12"/>
    <w:rsid w:val="00A23F80"/>
    <w:rsid w:val="00A44635"/>
    <w:rsid w:val="00A4663A"/>
    <w:rsid w:val="00A46E98"/>
    <w:rsid w:val="00A57E07"/>
    <w:rsid w:val="00A6352B"/>
    <w:rsid w:val="00A701B5"/>
    <w:rsid w:val="00A714BB"/>
    <w:rsid w:val="00A92D8F"/>
    <w:rsid w:val="00AB0434"/>
    <w:rsid w:val="00AB2988"/>
    <w:rsid w:val="00AB7999"/>
    <w:rsid w:val="00AC03D9"/>
    <w:rsid w:val="00AD3292"/>
    <w:rsid w:val="00AE7AF0"/>
    <w:rsid w:val="00B169EA"/>
    <w:rsid w:val="00B500CA"/>
    <w:rsid w:val="00B558E1"/>
    <w:rsid w:val="00B67D0A"/>
    <w:rsid w:val="00B7799F"/>
    <w:rsid w:val="00B86314"/>
    <w:rsid w:val="00BA1C2E"/>
    <w:rsid w:val="00BC200B"/>
    <w:rsid w:val="00BC4756"/>
    <w:rsid w:val="00BC69A4"/>
    <w:rsid w:val="00BE0680"/>
    <w:rsid w:val="00BE305F"/>
    <w:rsid w:val="00BE7BA3"/>
    <w:rsid w:val="00BF5682"/>
    <w:rsid w:val="00BF7B09"/>
    <w:rsid w:val="00C05592"/>
    <w:rsid w:val="00C20A95"/>
    <w:rsid w:val="00C233D6"/>
    <w:rsid w:val="00C2692F"/>
    <w:rsid w:val="00C3207C"/>
    <w:rsid w:val="00C400E1"/>
    <w:rsid w:val="00C41187"/>
    <w:rsid w:val="00C50124"/>
    <w:rsid w:val="00C53EC7"/>
    <w:rsid w:val="00C63C31"/>
    <w:rsid w:val="00C757A0"/>
    <w:rsid w:val="00C760DE"/>
    <w:rsid w:val="00C82630"/>
    <w:rsid w:val="00C85B4E"/>
    <w:rsid w:val="00C907F7"/>
    <w:rsid w:val="00C94DFA"/>
    <w:rsid w:val="00CA2103"/>
    <w:rsid w:val="00CB6B99"/>
    <w:rsid w:val="00CE4C87"/>
    <w:rsid w:val="00CE544A"/>
    <w:rsid w:val="00D11E1C"/>
    <w:rsid w:val="00D160B0"/>
    <w:rsid w:val="00D17F94"/>
    <w:rsid w:val="00D223FC"/>
    <w:rsid w:val="00D25DB1"/>
    <w:rsid w:val="00D26D1E"/>
    <w:rsid w:val="00D474CF"/>
    <w:rsid w:val="00D5547E"/>
    <w:rsid w:val="00D633C4"/>
    <w:rsid w:val="00D6683E"/>
    <w:rsid w:val="00D67480"/>
    <w:rsid w:val="00D90A28"/>
    <w:rsid w:val="00DA413F"/>
    <w:rsid w:val="00DA4584"/>
    <w:rsid w:val="00DA614B"/>
    <w:rsid w:val="00DB48D3"/>
    <w:rsid w:val="00DC3060"/>
    <w:rsid w:val="00DD1E41"/>
    <w:rsid w:val="00DD2FED"/>
    <w:rsid w:val="00DE0FB2"/>
    <w:rsid w:val="00DF093E"/>
    <w:rsid w:val="00E01F42"/>
    <w:rsid w:val="00E206D6"/>
    <w:rsid w:val="00E3366E"/>
    <w:rsid w:val="00E4637A"/>
    <w:rsid w:val="00E52086"/>
    <w:rsid w:val="00E543A6"/>
    <w:rsid w:val="00E60479"/>
    <w:rsid w:val="00E61D73"/>
    <w:rsid w:val="00E73684"/>
    <w:rsid w:val="00E818D6"/>
    <w:rsid w:val="00E87F7A"/>
    <w:rsid w:val="00E96BD7"/>
    <w:rsid w:val="00EA0494"/>
    <w:rsid w:val="00EA0DB1"/>
    <w:rsid w:val="00EA0EE9"/>
    <w:rsid w:val="00ED52CA"/>
    <w:rsid w:val="00ED5860"/>
    <w:rsid w:val="00EE058A"/>
    <w:rsid w:val="00EE35C9"/>
    <w:rsid w:val="00F05ECA"/>
    <w:rsid w:val="00F3566E"/>
    <w:rsid w:val="00F375FB"/>
    <w:rsid w:val="00F41AC1"/>
    <w:rsid w:val="00F4367A"/>
    <w:rsid w:val="00F445B1"/>
    <w:rsid w:val="00F45CD4"/>
    <w:rsid w:val="00F66DCA"/>
    <w:rsid w:val="00F74F53"/>
    <w:rsid w:val="00F7606D"/>
    <w:rsid w:val="00F76A98"/>
    <w:rsid w:val="00F81670"/>
    <w:rsid w:val="00F82024"/>
    <w:rsid w:val="00F913EC"/>
    <w:rsid w:val="00F95BC9"/>
    <w:rsid w:val="00FA026E"/>
    <w:rsid w:val="00FA624C"/>
    <w:rsid w:val="00FC735D"/>
    <w:rsid w:val="00FD0FAC"/>
    <w:rsid w:val="00FD1DFA"/>
    <w:rsid w:val="00FD4966"/>
    <w:rsid w:val="00FE57DC"/>
    <w:rsid w:val="00FF1566"/>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A5FBA"/>
  <w15:docId w15:val="{572F967F-BF51-402E-AFAA-AF5FD914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ntentpasted1">
    <w:name w:val="contentpasted1"/>
    <w:basedOn w:val="DefaultParagraphFont"/>
    <w:rsid w:val="0051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60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427</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Lucy</cp:lastModifiedBy>
  <cp:revision>2</cp:revision>
  <cp:lastPrinted>2015-07-03T12:50:00Z</cp:lastPrinted>
  <dcterms:created xsi:type="dcterms:W3CDTF">2023-09-22T12:17:00Z</dcterms:created>
  <dcterms:modified xsi:type="dcterms:W3CDTF">2023-09-22T12:17:00Z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